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1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大赛评分标准</w:t>
      </w:r>
    </w:p>
    <w:p>
      <w:pPr>
        <w:adjustRightInd w:val="0"/>
        <w:snapToGrid w:val="0"/>
        <w:ind w:firstLine="300" w:firstLineChars="100"/>
        <w:jc w:val="center"/>
        <w:rPr>
          <w:rFonts w:ascii="仿宋_GB2312" w:cs="仿宋_GB2312"/>
          <w:sz w:val="30"/>
          <w:szCs w:val="30"/>
        </w:rPr>
      </w:pPr>
    </w:p>
    <w:p>
      <w:pPr>
        <w:adjustRightInd w:val="0"/>
        <w:snapToGrid w:val="0"/>
        <w:jc w:val="left"/>
        <w:rPr>
          <w:rFonts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t>一、课件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36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评选指标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分值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融合应用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作品在教学中有必要的应用融合；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作品设计与教育教学内容融合；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作品需成体系，知识点设计连通；</w:t>
            </w:r>
          </w:p>
          <w:p>
            <w:pPr>
              <w:adjustRightInd w:val="0"/>
              <w:snapToGrid w:val="0"/>
              <w:spacing w:line="38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课程育人成效显著；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学生自主学习能力提升，课堂参与度高。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总体设计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25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体现智慧教育思想和教学理念；</w:t>
            </w:r>
            <w:r>
              <w:rPr>
                <w:rFonts w:hint="eastAsia"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>教学目标明确，价值导向清晰，融入课程思政；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教学安排合理，培养目标、教学标准能够实现与教学效果的动态关联；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学习资源推荐能够因人而异，实现因材施教；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内容布局合理，风格统一，有必要的交互，有清晰的文字介绍和帮助文档。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内容呈现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25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课程内容蕴含思想政治教育元素，突出育人功效；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教学内容、学习资源呈现方式数字化、媒体化、多元化；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内容完整、规范、科学，具有逻辑性；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语言表达简洁、生动，重难点突出；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资源、素材选用恰当，结构合理，因材施教效果突出。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特色创新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符合智慧教育发展需求，回归学习本分；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内容、形式新颖，趣味性和启发性强</w:t>
            </w:r>
            <w:r>
              <w:rPr>
                <w:rFonts w:ascii="仿宋_GB2312"/>
                <w:szCs w:val="32"/>
              </w:rPr>
              <w:t>;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风格独特，课堂教学效果好；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构思新颖，具有示范推广价值。</w:t>
            </w:r>
          </w:p>
        </w:tc>
      </w:tr>
    </w:tbl>
    <w:p>
      <w:pPr>
        <w:rPr>
          <w:rFonts w:ascii="黑体" w:eastAsia="黑体" w:cs="仿宋_GB2312"/>
          <w:szCs w:val="32"/>
        </w:rPr>
      </w:pPr>
      <w:r>
        <w:rPr>
          <w:rFonts w:ascii="黑体" w:eastAsia="黑体" w:cs="仿宋_GB2312"/>
          <w:szCs w:val="32"/>
        </w:rPr>
        <w:br w:type="page"/>
      </w:r>
    </w:p>
    <w:p>
      <w:pPr>
        <w:adjustRightInd w:val="0"/>
        <w:snapToGrid w:val="0"/>
        <w:spacing w:line="360" w:lineRule="auto"/>
        <w:jc w:val="left"/>
        <w:rPr>
          <w:rFonts w:ascii="黑体" w:eastAsia="黑体" w:cs="仿宋_GB231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t>二、微课</w:t>
      </w:r>
    </w:p>
    <w:tbl>
      <w:tblPr>
        <w:tblStyle w:val="2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992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评选指标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分值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融合应用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30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作品在教学中有必要的应用融合；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作品设计与教育教学内容融合；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作品需成体系，知识点设计连通。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课程育人成效显著；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学习成效与培养目标、教学标准实现动态记录与关联；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信息技术与线上资源运用充分、有效，紧密结合；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教学和信息化素养目标达成度高；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学生自主学习能力提升，课堂参与度高。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总体设计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体现智慧教育思想和教学理念；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主题明确、重点突出，学情分析清晰准确；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教学策略和教学方法选用恰当，设计完整规范；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合理运用信息技术手段、创新教学模式，积极探索混合式教学；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运用信息技术解决重、难点问题的作用突出。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教学行为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教学思路清晰，重点突出，逻辑性强；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教学过程深入浅出、形象生动、通俗易懂，充分调动学生的学习积极性；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教学态度严谨认真，教学风格先进多样。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特色创新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20</w:t>
            </w:r>
          </w:p>
        </w:tc>
        <w:tc>
          <w:tcPr>
            <w:tcW w:w="5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符合智慧教育发展需求，回归学习本分；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根据课程特点进行创新性网络教学设计，转变教学理念和学习观念；</w:t>
            </w:r>
          </w:p>
          <w:p>
            <w:pPr>
              <w:adjustRightInd w:val="0"/>
              <w:snapToGrid w:val="0"/>
              <w:jc w:val="lef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教学效果明显，具有推广应用价值。</w:t>
            </w:r>
          </w:p>
        </w:tc>
      </w:tr>
    </w:tbl>
    <w:p>
      <w:pPr>
        <w:rPr>
          <w:rFonts w:hint="eastAsia"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br w:type="page"/>
      </w:r>
    </w:p>
    <w:p>
      <w:pPr>
        <w:widowControl/>
        <w:jc w:val="left"/>
        <w:rPr>
          <w:rFonts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t>三、</w:t>
      </w:r>
      <w:r>
        <w:rPr>
          <w:rFonts w:hint="eastAsia" w:ascii="黑体" w:eastAsia="黑体" w:cs="仿宋_GB2312"/>
          <w:szCs w:val="32"/>
          <w:lang w:val="en-US" w:eastAsia="zh-CN"/>
        </w:rPr>
        <w:t>教育技术</w:t>
      </w:r>
      <w:r>
        <w:rPr>
          <w:rFonts w:hint="eastAsia" w:ascii="黑体" w:eastAsia="黑体" w:cs="仿宋_GB2312"/>
          <w:szCs w:val="32"/>
        </w:rPr>
        <w:t>论文</w:t>
      </w:r>
    </w:p>
    <w:tbl>
      <w:tblPr>
        <w:tblStyle w:val="2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36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评选指标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分值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价值性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30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选题价值:论文选题紧密结合自己的教育教学实际情况，体现当前课程改革的相关要求，突出信息技术与教育创新主题，具有重要的实践指导价值和可推广价值；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应用价值:论文观点鲜明，围绕信息技术教育应用的理论与实践问题提出切实有效的解决措施，重在解决实际问题，具有启发性和可借鉴价值。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科学性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论点正确，符合实际，表述准确；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论据科学、稳定、严密;实验及调查数据准确可靠，符合教学规律，没有不确定、猜测性的内容；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研究方法科学，资料数据详实，推理严密，统计分析正确。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创新性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30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理论创新:结合当前信息技术教育的理论研究进展，提出新的教育思想、方法和手段，对已有的信息技术教育理论进行科学的修正和补充，而不是对已有研究结论的再次论证；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实践创新:在信息技术教育应用实践方面取得创新的进展或突破，有新思考、新方法、新策略、新探索；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研究方法创新:用新的方法进行探索和研究;对已有的方法进行科学地修正和补充。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规范性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20</w:t>
            </w:r>
          </w:p>
        </w:tc>
        <w:tc>
          <w:tcPr>
            <w:tcW w:w="6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文章体例严谨，论述严谨，逻辑性强；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概念表述清晰准确；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内容和纲要切题，引用规范，图表制作精确；</w:t>
            </w:r>
          </w:p>
          <w:p>
            <w:pPr>
              <w:adjustRightInd w:val="0"/>
              <w:snapToGrid w:val="0"/>
              <w:spacing w:line="38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无知识性和常识性错误，文笔流畅，文质优美，可读性强。</w:t>
            </w:r>
          </w:p>
        </w:tc>
      </w:tr>
    </w:tbl>
    <w:p>
      <w:pPr>
        <w:rPr>
          <w:rFonts w:hint="eastAsia"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br w:type="page"/>
      </w:r>
    </w:p>
    <w:p>
      <w:pPr>
        <w:widowControl/>
        <w:jc w:val="left"/>
        <w:rPr>
          <w:rFonts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t>四、新技术融合教学案例</w:t>
      </w:r>
    </w:p>
    <w:tbl>
      <w:tblPr>
        <w:tblStyle w:val="2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037"/>
        <w:gridCol w:w="5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评选指标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分值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总体设计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体现智慧教育思想和教学理念；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合理利用现代技术融入教育教学过程；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合理选用新技术与教育教学融合。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教学实施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合理统筹各种资源，开展混合式教学；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依据培养目标和教学标准动态记录并调整教学环节；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突出学生主题地位，强调学生自主学习；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评价手段多元、全面，可通过评价工具及数据及时分析学生的学习行为；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形成具有自身特色的信息化教育教学模式。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教学效果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学习成效与培养目标、教学标准实现动态记录与关联；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信息技术运用充分、有效，紧密结合；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学生参与面广，交互性强，自主学习能力提升；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教学互动及时，合理根据教学反馈调整教学策略。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特色创新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25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符合智慧教育发展需求，回归学习本分；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理念先进，方式独特，效果突出；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500" w:lineRule="exact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具有示范推广价值</w:t>
            </w:r>
            <w:r>
              <w:rPr>
                <w:rFonts w:hint="eastAsia" w:ascii="仿宋_GB2312"/>
                <w:szCs w:val="32"/>
              </w:rPr>
              <w:t>。</w:t>
            </w:r>
          </w:p>
        </w:tc>
      </w:tr>
    </w:tbl>
    <w:p>
      <w:pPr>
        <w:rPr>
          <w:rFonts w:hint="eastAsia" w:ascii="黑体" w:eastAsia="黑体" w:cs="仿宋_GB2312"/>
          <w:szCs w:val="32"/>
        </w:rPr>
      </w:pPr>
      <w:r>
        <w:rPr>
          <w:rFonts w:hint="eastAsia" w:ascii="黑体" w:eastAsia="黑体" w:cs="仿宋_GB2312"/>
          <w:szCs w:val="32"/>
        </w:rPr>
        <w:br w:type="page"/>
      </w:r>
    </w:p>
    <w:p>
      <w:pPr>
        <w:widowControl/>
        <w:jc w:val="left"/>
        <w:rPr>
          <w:rFonts w:ascii="黑体" w:eastAsia="黑体" w:cs="仿宋_GB2312"/>
          <w:szCs w:val="32"/>
        </w:rPr>
      </w:pPr>
      <w:bookmarkStart w:id="0" w:name="_GoBack"/>
      <w:bookmarkEnd w:id="0"/>
      <w:r>
        <w:rPr>
          <w:rFonts w:hint="eastAsia" w:ascii="黑体" w:eastAsia="黑体" w:cs="仿宋_GB2312"/>
          <w:szCs w:val="32"/>
        </w:rPr>
        <w:t>五、优秀教育电视节目</w:t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36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评选指标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分值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hint="eastAsia" w:ascii="仿宋_GB2312"/>
                <w:b/>
                <w:szCs w:val="32"/>
              </w:rPr>
              <w:t>评选要素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选题策划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体现节目导向性；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选题应具备重要性、贴近性、时新性。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节目内容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内容真实准确；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内容具有时宜性；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背景材料应用及信息含量合适。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表现形式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视觉冲击力、情感冲击力契合电视节目内容；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主持人表达能力、驾驭能力、仪表与节目内容和谐。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社会效果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易受感染性；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发布后具有一定社会影响力；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节目内容具备一定的社会价值；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具备社会指导性与前瞻性。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创新能力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  <w:r>
              <w:rPr>
                <w:rFonts w:ascii="仿宋_GB2312"/>
                <w:szCs w:val="32"/>
              </w:rPr>
              <w:t>0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题材和角度独具匠心；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开创新的节目样式；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运用新颖的电视元素；</w:t>
            </w:r>
          </w:p>
          <w:p>
            <w:pPr>
              <w:adjustRightInd w:val="0"/>
              <w:snapToGrid w:val="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调用其他的艺术形式。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GQwNjg2NWJlMzAwMWI4MzhmZTI0NDFhMjgwMjgifQ=="/>
  </w:docVars>
  <w:rsids>
    <w:rsidRoot w:val="00000000"/>
    <w:rsid w:val="04992D52"/>
    <w:rsid w:val="43E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2024-04-29T06:55:01Z</dcterms:created>
  <dc:creator>lenovo</dc:creator>
  <cp:lastModifiedBy>那谁谁托夫斯基</cp:lastModifiedBy>
  <dcterms:modified xsi:type="dcterms:W3CDTF">2024-04-29T06:55:34Z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BAEBEE351FBE4C78B2775ABFFEE8C807_12</vt:lpwstr>
  </property>
</Properties>
</file>